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VIETNAM – Hanoi – The Quintessence of Tonkin</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Honeymoon,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Vietnam - Hanoi</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2300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Hanoi</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Hanoi</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b w:val="0"/>
          <w:bCs w:val="0"/>
        </w:rPr>
        <w:t xml:space="preserve">Located about 25 kilometres (15.5 miles) west of central Hanoi, The Quintessence of Tonkin occupies a space close to Chua Thay, a special National Cultural Heritage site and one of the oldest Buddhist pagodas in Vietnam. The spectacle draws inspiration from the pagoda’s spiritual history, with storyline elements that focus on the founding of the pagoda by a venerable monk, named Tu Dao Hanh, and the ancient union between religion and monarchy.</w:t>
      </w:r>
    </w:p>
    <w:p>
      <w:pPr>
        <w:pPr/>
        <w:numPr>
          <w:ilvl w:val="0"/>
          <w:numId w:val="7"/>
        </w:numPr>
      </w:pPr>
      <w:r>
        <w:rPr>
          <w:rFonts w:ascii="Open Sans" w:hAnsi="Open Sans" w:eastAsia="Open Sans" w:cs="Open Sans"/>
          <w:sz w:val="20"/>
          <w:szCs w:val="20"/>
        </w:rPr>
        <w:t xml:space="preserve">Performance art technicians devised a world-class sound and lighting system, but the sounds of the spectacle keep reflecting the peaceful sounds of rural Vietnam, including wooden drums and brass gongs, night crickets, and flowing water. The spectacle also blends different elements of traditional music styles, including Quan Ho and Ca Tru, both of which are now recognized by UNESCO as Intangible World Heritage arts.</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8"/>
        </w:numPr>
      </w:pPr>
      <w:r>
        <w:rPr>
          <w:rFonts w:ascii="Open Sans" w:hAnsi="Open Sans" w:eastAsia="Open Sans" w:cs="Open Sans"/>
          <w:sz w:val="20"/>
          <w:szCs w:val="20"/>
          <w:b w:val="0"/>
          <w:bCs w:val="0"/>
        </w:rPr>
        <w:t xml:space="preserve">A stroll in the Old Quarter of Hanoi</w:t>
      </w:r>
    </w:p>
    <w:p>
      <w:pPr>
        <w:pPr/>
        <w:numPr>
          <w:ilvl w:val="0"/>
          <w:numId w:val="8"/>
        </w:numPr>
      </w:pPr>
      <w:r>
        <w:rPr>
          <w:rFonts w:ascii="Open Sans" w:hAnsi="Open Sans" w:eastAsia="Open Sans" w:cs="Open Sans"/>
          <w:sz w:val="20"/>
          <w:szCs w:val="20"/>
          <w:b w:val="0"/>
          <w:bCs w:val="0"/>
        </w:rPr>
        <w:t xml:space="preserve">Mai Chau – Hiking In The Enchanted Mai Chau Landscape</w:t>
      </w:r>
    </w:p>
    <w:p>
      <w:pPr>
        <w:pPr/>
        <w:numPr>
          <w:ilvl w:val="0"/>
          <w:numId w:val="8"/>
        </w:numPr>
      </w:pPr>
      <w:r>
        <w:rPr>
          <w:rFonts w:ascii="Open Sans" w:hAnsi="Open Sans" w:eastAsia="Open Sans" w:cs="Open Sans"/>
          <w:sz w:val="20"/>
          <w:szCs w:val="20"/>
        </w:rPr>
        <w:t xml:space="preserve">Cycling in the ancient village of Duong Lam</w:t>
      </w:r>
    </w:p>
    <w:p>
      <w:pPr/>
      <w:r>
        <w:rPr>
          <w:rFonts w:ascii="Open Sans" w:hAnsi="Open Sans" w:eastAsia="Open Sans" w:cs="Open Sans"/>
          <w:sz w:val="20"/>
          <w:szCs w:val="20"/>
          <w:b w:val="1"/>
          <w:bCs w:val="1"/>
        </w:rPr>
        <w:t xml:space="preserve">Exclusive</w:t>
      </w:r>
    </w:p>
    <w:p>
      <w:pPr>
        <w:pPr/>
        <w:numPr>
          <w:ilvl w:val="0"/>
          <w:numId w:val="9"/>
        </w:numPr>
      </w:pPr>
      <w:r>
        <w:rPr>
          <w:rFonts w:ascii="Open Sans" w:hAnsi="Open Sans" w:eastAsia="Open Sans" w:cs="Open Sans"/>
          <w:sz w:val="20"/>
          <w:szCs w:val="20"/>
        </w:rPr>
        <w:t xml:space="preserve">A marvellous night with a Jeep tour and Lotte Tower (Activity)</w:t>
      </w:r>
    </w:p>
    <w:p>
      <w:pPr>
        <w:pPr/>
        <w:numPr>
          <w:ilvl w:val="0"/>
          <w:numId w:val="9"/>
        </w:numPr>
      </w:pPr>
      <w:r>
        <w:rPr>
          <w:rFonts w:ascii="Open Sans" w:hAnsi="Open Sans" w:eastAsia="Open Sans" w:cs="Open Sans"/>
          <w:sz w:val="20"/>
          <w:szCs w:val="20"/>
        </w:rPr>
        <w:t xml:space="preserve">Helicopter service in the North</w:t>
      </w:r>
    </w:p>
    <w:p>
      <w:pPr>
        <w:pPr/>
        <w:numPr>
          <w:ilvl w:val="0"/>
          <w:numId w:val="9"/>
        </w:numPr>
      </w:pPr>
      <w:r>
        <w:rPr>
          <w:rFonts w:ascii="Open Sans" w:hAnsi="Open Sans" w:eastAsia="Open Sans" w:cs="Open Sans"/>
          <w:sz w:val="20"/>
          <w:szCs w:val="20"/>
        </w:rPr>
        <w:t xml:space="preserve">Lacquer workshop at Hanoia house</w:t>
      </w:r>
    </w:p>
    <w:p>
      <w:pPr/>
      <w:r>
        <w:rPr>
          <w:rFonts w:ascii="Open Sans" w:hAnsi="Open Sans" w:eastAsia="Open Sans" w:cs="Open Sans"/>
          <w:sz w:val="20"/>
          <w:szCs w:val="20"/>
          <w:b w:val="1"/>
          <w:bCs w:val="1"/>
        </w:rPr>
        <w:t xml:space="preserve">Incentive</w:t>
      </w:r>
    </w:p>
    <w:p>
      <w:pPr>
        <w:pPr/>
        <w:numPr>
          <w:ilvl w:val="0"/>
          <w:numId w:val="10"/>
        </w:numPr>
      </w:pPr>
      <w:r>
        <w:rPr>
          <w:rFonts w:ascii="Open Sans" w:hAnsi="Open Sans" w:eastAsia="Open Sans" w:cs="Open Sans"/>
          <w:sz w:val="20"/>
          <w:szCs w:val="20"/>
          <w:b w:val="0"/>
          <w:bCs w:val="0"/>
        </w:rPr>
        <w:t xml:space="preserve">Go on a treasure hunt in the maze of the 36 streets</w:t>
      </w:r>
    </w:p>
    <w:p>
      <w:pPr>
        <w:pPr/>
        <w:numPr>
          <w:ilvl w:val="0"/>
          <w:numId w:val="10"/>
        </w:numPr>
      </w:pPr>
      <w:r>
        <w:rPr>
          <w:rFonts w:ascii="Open Sans" w:hAnsi="Open Sans" w:eastAsia="Open Sans" w:cs="Open Sans"/>
          <w:sz w:val="20"/>
          <w:szCs w:val="20"/>
        </w:rPr>
        <w:t xml:space="preserve">A game of football with young Thais in Mai Chau</w:t>
      </w:r>
    </w:p>
    <w:p>
      <w:pPr>
        <w:pPr/>
        <w:numPr>
          <w:ilvl w:val="0"/>
          <w:numId w:val="10"/>
        </w:numPr>
      </w:pPr>
      <w:r>
        <w:rPr>
          <w:rFonts w:ascii="Open Sans" w:hAnsi="Open Sans" w:eastAsia="Open Sans" w:cs="Open Sans"/>
          <w:sz w:val="20"/>
          <w:szCs w:val="20"/>
        </w:rPr>
        <w:t xml:space="preserve">Enjoy a Kung Fu Performance</w:t>
      </w:r>
    </w:p>
    <w:p>
      <w:pPr/>
      <w:r>
        <w:rPr>
          <w:rFonts w:ascii="Open Sans" w:hAnsi="Open Sans" w:eastAsia="Open Sans" w:cs="Open Sans"/>
          <w:sz w:val="20"/>
          <w:szCs w:val="20"/>
          <w:b w:val="1"/>
          <w:bCs w:val="1"/>
        </w:rPr>
        <w:t xml:space="preserve">Groups </w:t>
      </w:r>
    </w:p>
    <w:p>
      <w:pPr>
        <w:pPr/>
        <w:numPr>
          <w:ilvl w:val="0"/>
          <w:numId w:val="11"/>
        </w:numPr>
      </w:pPr>
      <w:r>
        <w:rPr>
          <w:rFonts w:ascii="Open Sans" w:hAnsi="Open Sans" w:eastAsia="Open Sans" w:cs="Open Sans"/>
          <w:sz w:val="20"/>
          <w:szCs w:val="20"/>
          <w:b w:val="0"/>
          <w:bCs w:val="0"/>
        </w:rPr>
        <w:t xml:space="preserve">Meet a master of calligraphy</w:t>
      </w:r>
    </w:p>
    <w:p>
      <w:pPr>
        <w:pPr/>
        <w:numPr>
          <w:ilvl w:val="0"/>
          <w:numId w:val="11"/>
        </w:numPr>
      </w:pPr>
      <w:r>
        <w:rPr>
          <w:rFonts w:ascii="Open Sans" w:hAnsi="Open Sans" w:eastAsia="Open Sans" w:cs="Open Sans"/>
          <w:sz w:val="20"/>
          <w:szCs w:val="20"/>
        </w:rPr>
        <w:t xml:space="preserve">Spend a night with the locals in a traditional stilt house in Mai Chau</w:t>
      </w:r>
    </w:p>
    <w:p>
      <w:pPr>
        <w:pPr/>
        <w:numPr>
          <w:ilvl w:val="0"/>
          <w:numId w:val="11"/>
        </w:numPr>
      </w:pPr>
      <w:r>
        <w:rPr>
          <w:rFonts w:ascii="Open Sans" w:hAnsi="Open Sans" w:eastAsia="Open Sans" w:cs="Open Sans"/>
          <w:sz w:val="20"/>
          <w:szCs w:val="20"/>
        </w:rPr>
        <w:t xml:space="preserve">Share a peaceful moment in Vietnamese life: Tai Chi at dawn</w:t>
      </w:r>
    </w:p>
    <w:p>
      <w:pPr>
        <w:pStyle w:val="Heading2"/>
      </w:pPr>
      <w:bookmarkStart w:id="4" w:name="_Toc4"/>
      <w:r>
        <w:t>Selling points</w:t>
      </w:r>
      <w:bookmarkEnd w:id="4"/>
    </w:p>
    <w:p>
      <w:pPr/>
      <w:r>
        <w:pict>
          <v:shape id="_x0000_s1043"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12"/>
        </w:numPr>
      </w:pPr>
      <w:r>
        <w:rPr>
          <w:rFonts w:ascii="Open Sans" w:hAnsi="Open Sans" w:eastAsia="Open Sans" w:cs="Open Sans"/>
          <w:sz w:val="20"/>
          <w:szCs w:val="20"/>
        </w:rPr>
        <w:t xml:space="preserve">The first live entertainment show that combines many types of Vietnamese traditional music, including 2 Intangible World Heritage arts: Quan Ho and Ca Tru.</w:t>
      </w:r>
    </w:p>
    <w:p>
      <w:pPr>
        <w:pPr/>
        <w:numPr>
          <w:ilvl w:val="0"/>
          <w:numId w:val="12"/>
        </w:numPr>
      </w:pPr>
      <w:r>
        <w:rPr>
          <w:rFonts w:ascii="Open Sans" w:hAnsi="Open Sans" w:eastAsia="Open Sans" w:cs="Open Sans"/>
          <w:sz w:val="20"/>
          <w:szCs w:val="20"/>
        </w:rPr>
        <w:t xml:space="preserve">A brilliant performance with very impressive visuals: dancing and the state-of-the-art light system.</w:t>
      </w:r>
    </w:p>
    <w:p>
      <w:pPr>
        <w:pPr/>
        <w:numPr>
          <w:ilvl w:val="0"/>
          <w:numId w:val="12"/>
        </w:numPr>
      </w:pPr>
      <w:r>
        <w:rPr>
          <w:rFonts w:ascii="Open Sans" w:hAnsi="Open Sans" w:eastAsia="Open Sans" w:cs="Open Sans"/>
          <w:sz w:val="20"/>
          <w:szCs w:val="20"/>
        </w:rPr>
        <w:t xml:space="preserve">The show is performed by not only artists and professional dancers but also the local villagers.</w:t>
      </w:r>
    </w:p>
    <w:p>
      <w:pPr>
        <w:pPr/>
        <w:numPr>
          <w:ilvl w:val="0"/>
          <w:numId w:val="12"/>
        </w:numPr>
      </w:pPr>
      <w:r>
        <w:rPr>
          <w:rFonts w:ascii="Open Sans" w:hAnsi="Open Sans" w:eastAsia="Open Sans" w:cs="Open Sans"/>
          <w:sz w:val="20"/>
          <w:szCs w:val="20"/>
        </w:rPr>
        <w:t xml:space="preserve">A perfect show for all the Arts &amp; Culture lovers, as well as families with children older than 5 years.</w:t>
      </w:r>
    </w:p>
    <w:p>
      <w:pPr>
        <w:pStyle w:val="Heading2"/>
      </w:pPr>
      <w:bookmarkStart w:id="5" w:name="_Toc5"/>
      <w:r>
        <w:t>Sustainability</w:t>
      </w:r>
      <w:bookmarkEnd w:id="5"/>
    </w:p>
    <w:p>
      <w:pPr/>
      <w:r>
        <w:pict>
          <v:shape id="_x0000_s1049"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Medium – This activity offers tangible positive contributions to the local community, culture and/or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br/>
      <w:r>
        <w:rPr>
          <w:rFonts w:ascii="Open Sans" w:hAnsi="Open Sans" w:eastAsia="Open Sans" w:cs="Open Sans"/>
          <w:sz w:val="20"/>
          <w:szCs w:val="20"/>
        </w:rPr>
        <w:t xml:space="preserve">The </w:t>
      </w:r>
      <w:r>
        <w:rPr>
          <w:rFonts w:ascii="Open Sans" w:hAnsi="Open Sans" w:eastAsia="Open Sans" w:cs="Open Sans"/>
          <w:sz w:val="20"/>
          <w:szCs w:val="20"/>
        </w:rPr>
        <w:t xml:space="preserve">Q</w:t>
      </w:r>
      <w:r>
        <w:rPr>
          <w:rFonts w:ascii="Open Sans" w:hAnsi="Open Sans" w:eastAsia="Open Sans" w:cs="Open Sans"/>
          <w:sz w:val="20"/>
          <w:szCs w:val="20"/>
        </w:rPr>
        <w:t xml:space="preserve">uintessence of Tonkin is a large project </w:t>
      </w:r>
      <w:r>
        <w:rPr>
          <w:rFonts w:ascii="Open Sans" w:hAnsi="Open Sans" w:eastAsia="Open Sans" w:cs="Open Sans"/>
          <w:sz w:val="20"/>
          <w:szCs w:val="20"/>
        </w:rPr>
        <w:t xml:space="preserve">o</w:t>
      </w:r>
      <w:r>
        <w:rPr>
          <w:rFonts w:ascii="Open Sans" w:hAnsi="Open Sans" w:eastAsia="Open Sans" w:cs="Open Sans"/>
          <w:sz w:val="20"/>
          <w:szCs w:val="20"/>
        </w:rPr>
        <w:t xml:space="preserve">n the outski</w:t>
      </w:r>
      <w:r>
        <w:rPr>
          <w:rFonts w:ascii="Open Sans" w:hAnsi="Open Sans" w:eastAsia="Open Sans" w:cs="Open Sans"/>
          <w:sz w:val="20"/>
          <w:szCs w:val="20"/>
        </w:rPr>
        <w:t xml:space="preserve">r</w:t>
      </w:r>
      <w:r>
        <w:rPr>
          <w:rFonts w:ascii="Open Sans" w:hAnsi="Open Sans" w:eastAsia="Open Sans" w:cs="Open Sans"/>
          <w:sz w:val="20"/>
          <w:szCs w:val="20"/>
        </w:rPr>
        <w:t xml:space="preserve">t</w:t>
      </w:r>
      <w:r>
        <w:rPr>
          <w:rFonts w:ascii="Open Sans" w:hAnsi="Open Sans" w:eastAsia="Open Sans" w:cs="Open Sans"/>
          <w:sz w:val="20"/>
          <w:szCs w:val="20"/>
        </w:rPr>
        <w:t xml:space="preserve">s</w:t>
      </w:r>
      <w:r>
        <w:rPr>
          <w:rFonts w:ascii="Open Sans" w:hAnsi="Open Sans" w:eastAsia="Open Sans" w:cs="Open Sans"/>
          <w:sz w:val="20"/>
          <w:szCs w:val="20"/>
        </w:rPr>
        <w:t xml:space="preserve"> of Hanoi, </w:t>
      </w:r>
      <w:r>
        <w:rPr>
          <w:rFonts w:ascii="Open Sans" w:hAnsi="Open Sans" w:eastAsia="Open Sans" w:cs="Open Sans"/>
          <w:sz w:val="20"/>
          <w:szCs w:val="20"/>
        </w:rPr>
        <w:t xml:space="preserve">and</w:t>
      </w:r>
      <w:r>
        <w:rPr>
          <w:rFonts w:ascii="Open Sans" w:hAnsi="Open Sans" w:eastAsia="Open Sans" w:cs="Open Sans"/>
          <w:sz w:val="20"/>
          <w:szCs w:val="20"/>
        </w:rPr>
        <w:t xml:space="preserve"> employs</w:t>
      </w:r>
      <w:r>
        <w:rPr>
          <w:rFonts w:ascii="Open Sans" w:hAnsi="Open Sans" w:eastAsia="Open Sans" w:cs="Open Sans"/>
          <w:sz w:val="20"/>
          <w:szCs w:val="20"/>
        </w:rPr>
        <w:t xml:space="preserve"> and trains</w:t>
      </w:r>
      <w:r>
        <w:rPr>
          <w:rFonts w:ascii="Open Sans" w:hAnsi="Open Sans" w:eastAsia="Open Sans" w:cs="Open Sans"/>
          <w:sz w:val="20"/>
          <w:szCs w:val="20"/>
        </w:rPr>
        <w:t xml:space="preserve"> hundreds of people</w:t>
      </w:r>
      <w:r>
        <w:rPr>
          <w:rFonts w:ascii="Open Sans" w:hAnsi="Open Sans" w:eastAsia="Open Sans" w:cs="Open Sans"/>
          <w:sz w:val="20"/>
          <w:szCs w:val="20"/>
        </w:rPr>
        <w:t xml:space="preserve">,</w:t>
      </w:r>
      <w:r>
        <w:rPr>
          <w:rFonts w:ascii="Open Sans" w:hAnsi="Open Sans" w:eastAsia="Open Sans" w:cs="Open Sans"/>
          <w:sz w:val="20"/>
          <w:szCs w:val="20"/>
        </w:rPr>
        <w:t xml:space="preserve"> from the dancers to the cleaner,</w:t>
      </w:r>
      <w:r>
        <w:rPr>
          <w:rFonts w:ascii="Open Sans" w:hAnsi="Open Sans" w:eastAsia="Open Sans" w:cs="Open Sans"/>
          <w:sz w:val="20"/>
          <w:szCs w:val="20"/>
        </w:rPr>
        <w:t xml:space="preserve"> and</w:t>
      </w:r>
      <w:r>
        <w:rPr>
          <w:rFonts w:ascii="Open Sans" w:hAnsi="Open Sans" w:eastAsia="Open Sans" w:cs="Open Sans"/>
          <w:sz w:val="20"/>
          <w:szCs w:val="20"/>
        </w:rPr>
        <w:t xml:space="preserve"> from the chef</w:t>
      </w:r>
      <w:r>
        <w:rPr>
          <w:rFonts w:ascii="Open Sans" w:hAnsi="Open Sans" w:eastAsia="Open Sans" w:cs="Open Sans"/>
          <w:sz w:val="20"/>
          <w:szCs w:val="20"/>
        </w:rPr>
        <w:t xml:space="preserve">s</w:t>
      </w:r>
      <w:r>
        <w:rPr>
          <w:rFonts w:ascii="Open Sans" w:hAnsi="Open Sans" w:eastAsia="Open Sans" w:cs="Open Sans"/>
          <w:sz w:val="20"/>
          <w:szCs w:val="20"/>
        </w:rPr>
        <w:t xml:space="preserve"> to the musician</w:t>
      </w:r>
      <w:r>
        <w:rPr>
          <w:rFonts w:ascii="Open Sans" w:hAnsi="Open Sans" w:eastAsia="Open Sans" w:cs="Open Sans"/>
          <w:sz w:val="20"/>
          <w:szCs w:val="20"/>
        </w:rPr>
        <w:t xml:space="preserve">s</w:t>
      </w:r>
      <w:r>
        <w:rPr>
          <w:rFonts w:ascii="Open Sans" w:hAnsi="Open Sans" w:eastAsia="Open Sans" w:cs="Open Sans"/>
          <w:sz w:val="20"/>
          <w:szCs w:val="20"/>
        </w:rPr>
        <w:t xml:space="preserve">. In general</w:t>
      </w:r>
      <w:r>
        <w:rPr>
          <w:rFonts w:ascii="Open Sans" w:hAnsi="Open Sans" w:eastAsia="Open Sans" w:cs="Open Sans"/>
          <w:sz w:val="20"/>
          <w:szCs w:val="20"/>
        </w:rPr>
        <w:t xml:space="preserve">,</w:t>
      </w:r>
      <w:r>
        <w:rPr>
          <w:rFonts w:ascii="Open Sans" w:hAnsi="Open Sans" w:eastAsia="Open Sans" w:cs="Open Sans"/>
          <w:sz w:val="20"/>
          <w:szCs w:val="20"/>
        </w:rPr>
        <w:t xml:space="preserve"> the activity </w:t>
      </w:r>
      <w:r>
        <w:rPr>
          <w:rFonts w:ascii="Open Sans" w:hAnsi="Open Sans" w:eastAsia="Open Sans" w:cs="Open Sans"/>
          <w:sz w:val="20"/>
          <w:szCs w:val="20"/>
        </w:rPr>
        <w:t xml:space="preserve">offers</w:t>
      </w:r>
      <w:r>
        <w:rPr>
          <w:rFonts w:ascii="Open Sans" w:hAnsi="Open Sans" w:eastAsia="Open Sans" w:cs="Open Sans"/>
          <w:sz w:val="20"/>
          <w:szCs w:val="20"/>
        </w:rPr>
        <w:t xml:space="preserve"> significant income </w:t>
      </w:r>
      <w:r>
        <w:rPr>
          <w:rFonts w:ascii="Open Sans" w:hAnsi="Open Sans" w:eastAsia="Open Sans" w:cs="Open Sans"/>
          <w:sz w:val="20"/>
          <w:szCs w:val="20"/>
        </w:rPr>
        <w:t xml:space="preserve">for</w:t>
      </w:r>
      <w:r>
        <w:rPr>
          <w:rFonts w:ascii="Open Sans" w:hAnsi="Open Sans" w:eastAsia="Open Sans" w:cs="Open Sans"/>
          <w:sz w:val="20"/>
          <w:szCs w:val="20"/>
        </w:rPr>
        <w:t xml:space="preserve"> many </w:t>
      </w:r>
      <w:r>
        <w:rPr>
          <w:rFonts w:ascii="Open Sans" w:hAnsi="Open Sans" w:eastAsia="Open Sans" w:cs="Open Sans"/>
          <w:sz w:val="20"/>
          <w:szCs w:val="20"/>
        </w:rPr>
        <w:t xml:space="preserve">H</w:t>
      </w:r>
      <w:r>
        <w:rPr>
          <w:rFonts w:ascii="Open Sans" w:hAnsi="Open Sans" w:eastAsia="Open Sans" w:cs="Open Sans"/>
          <w:sz w:val="20"/>
          <w:szCs w:val="20"/>
        </w:rPr>
        <w:t xml:space="preserve">anoians.</w:t>
      </w:r>
      <w:br/>
      <w:r>
        <w:rPr>
          <w:rFonts w:ascii="Open Sans" w:hAnsi="Open Sans" w:eastAsia="Open Sans" w:cs="Open Sans"/>
          <w:sz w:val="20"/>
          <w:szCs w:val="20"/>
          <w:b w:val="1"/>
          <w:bCs w:val="1"/>
        </w:rPr>
        <w:t xml:space="preserve">Negative Impact:</w:t>
      </w:r>
      <w:br/>
      <w:r>
        <w:rPr>
          <w:rFonts w:ascii="Open Sans" w:hAnsi="Open Sans" w:eastAsia="Open Sans" w:cs="Open Sans"/>
          <w:sz w:val="20"/>
          <w:szCs w:val="20"/>
        </w:rPr>
        <w:t xml:space="preserve">The activity is outside Hanoi, therefore it requires a transfer by car while similar activities </w:t>
      </w:r>
      <w:r>
        <w:rPr>
          <w:rFonts w:ascii="Open Sans" w:hAnsi="Open Sans" w:eastAsia="Open Sans" w:cs="Open Sans"/>
          <w:sz w:val="20"/>
          <w:szCs w:val="20"/>
        </w:rPr>
        <w:t xml:space="preserve">also </w:t>
      </w:r>
      <w:r>
        <w:rPr>
          <w:rFonts w:ascii="Open Sans" w:hAnsi="Open Sans" w:eastAsia="Open Sans" w:cs="Open Sans"/>
          <w:sz w:val="20"/>
          <w:szCs w:val="20"/>
        </w:rPr>
        <w:t xml:space="preserve">exist in the city center of Hanoi. </w:t>
      </w:r>
    </w:p>
    <w:p>
      <w:pPr>
        <w:pStyle w:val="Heading2"/>
      </w:pPr>
      <w:bookmarkStart w:id="6" w:name="_Toc6"/>
      <w:r>
        <w:t>Time And Transportation</w:t>
      </w:r>
      <w:bookmarkEnd w:id="6"/>
    </w:p>
    <w:p>
      <w:pPr/>
      <w:r>
        <w:pict>
          <v:shape id="_x0000_s1060"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Kilometer (Miles)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 </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 </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Center of Hanoi</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The Quintessence of Tonkin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25 (15.5)</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47 minutes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Duong Lam Ancient Village</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The Quintessence of Tonkin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28 (17)</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50 minutes</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Mai Chau, Hoa Binh</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The Quintessence of Tonkin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130 (81)</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3 hours 25min</w:t>
            </w:r>
          </w:p>
        </w:tc>
        <w:tc>
          <w:tcPr>
            <w:tcBorders>
              <w:top w:val="single" w:sz="0.75" w:color="222222"/>
              <w:left w:val="single" w:sz="0.75" w:color="222222"/>
              <w:right w:val="single" w:sz="0.75" w:color="222222"/>
              <w:bottom w:val="single" w:sz="0.75" w:color="222222"/>
            </w:tcBorders>
          </w:tcPr>
          <w:p>
            <w:pPr>
              <w:jc w:val="center"/>
            </w:pPr>
            <w:r>
              <w:rPr>
                <w:rFonts w:ascii="Open Sans" w:hAnsi="Open Sans" w:eastAsia="Open Sans" w:cs="Open Sans"/>
                <w:sz w:val="20"/>
                <w:szCs w:val="20"/>
              </w:rPr>
              <w:t xml:space="preserve">good</w:t>
            </w:r>
          </w:p>
        </w:tc>
      </w:tr>
    </w:tbl>
    <w:p>
      <w:pPr>
        <w:pStyle w:val="Heading2"/>
      </w:pPr>
      <w:bookmarkStart w:id="7" w:name="_Toc7"/>
      <w:r>
        <w:t>Photos</w:t>
      </w:r>
      <w:bookmarkEnd w:id="7"/>
    </w:p>
    <w:p>
      <w:pPr/>
      <w:r>
        <w:pict>
          <v:shape id="_x0000_s1063"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15pt; margin-left:-1pt; margin-top:-1pt; mso-position-horizontal:left; mso-position-vertical:top; mso-position-horizontal-relative:char; mso-position-vertical-relative:line; z-index:-2147483647;">
            <v:imagedata r:id="rId8" o:title=""/>
          </v:shape>
        </w:pict>
      </w:r>
    </w:p>
    <w:p>
      <w:pPr/>
      <w:r>
        <w:pict>
          <v:shape type="#_x0000_t75" style="width:450pt; height:315pt; margin-left:-1pt; margin-top:-1pt; mso-position-horizontal:left; mso-position-vertical:top; mso-position-horizontal-relative:char; mso-position-vertical-relative:line; z-index:-2147483647;">
            <v:imagedata r:id="rId9" o:title=""/>
          </v:shape>
        </w:pict>
      </w:r>
    </w:p>
    <w:p>
      <w:pPr/>
      <w:r>
        <w:pict>
          <v:shape type="#_x0000_t75" style="width:450pt; height:315pt; margin-left:-1pt; margin-top:-1pt; mso-position-horizontal:left; mso-position-vertical:top; mso-position-horizontal-relative:char; mso-position-vertical-relative:line; z-index:-2147483647;">
            <v:imagedata r:id="rId10" o:title=""/>
          </v:shape>
        </w:pict>
      </w:r>
    </w:p>
    <w:p>
      <w:pPr>
        <w:pStyle w:val="Heading2"/>
      </w:pPr>
      <w:bookmarkStart w:id="8" w:name="_Toc8"/>
      <w:r>
        <w:t>Easia Travel Head Office</w:t>
      </w:r>
      <w:bookmarkEnd w:id="8"/>
    </w:p>
    <w:p>
      <w:pPr/>
      <w:r>
        <w:pict>
          <v:shape id="_x0000_s1068"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1" w:history="1">
        <w:r>
          <w:rPr/>
          <w:t xml:space="preserve">www.easia-travel.com</w:t>
        </w:r>
      </w:hyperlink>
    </w:p>
    <w:sectPr>
      <w:headerReference w:type="default" r:id="rId12"/>
      <w:footerReference w:type="default" r:id="rId13"/>
      <w:footerReference w:type="default" r:id="rId14"/>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VIETNAM – HANOI – THE QUINTESSENCE OF TONKIN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AC437E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9EA06C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F55C0C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F0EB7B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039ED3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9B9B8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www.easia-travel.com/backu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2024-04-30T17:02:18+00:00</dcterms:created>
  <dcterms:modified xsi:type="dcterms:W3CDTF">2024-04-30T17:02:18+00:00</dcterms:modified>
</cp:coreProperties>
</file>

<file path=docProps/custom.xml><?xml version="1.0" encoding="utf-8"?>
<Properties xmlns="http://schemas.openxmlformats.org/officeDocument/2006/custom-properties" xmlns:vt="http://schemas.openxmlformats.org/officeDocument/2006/docPropsVTypes"/>
</file>