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Hanoi – Meet Vietnamese Contemporary Art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Family,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15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Meet with one of the leading contemporary artists in Hanoi to discover his story about his style &amp; philosophy of art to gain an understanding of the evolving position of contemporary art in Vietnam.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Hands-on Vietnamese cooking class in Hanoi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Visit and meet with a water-puppet craftsman at his house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Hanoi through the ages with a Polaroid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A stroll in Hanoi the old quarter of Hanoi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Exclusive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Hands-on Vietnamese cooking class in Hanoi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chance for art lovers to enjoy Vietnamese contemporary art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real opportunity to meet a Vietnamese artist who is famous not only in Vietnam but also Internationally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serene opportunity to be surrounded by art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Positive Impact:</w:t>
      </w:r>
      <w:br/>
      <w:r>
        <w:rPr>
          <w:rFonts w:ascii="Open Sans" w:hAnsi="Open Sans" w:eastAsia="Open Sans" w:cs="Open Sans"/>
          <w:sz w:val="20"/>
          <w:szCs w:val="20"/>
        </w:rPr>
        <w:t xml:space="preserve">This activity provides income directly to </w:t>
      </w:r>
      <w:r>
        <w:rPr>
          <w:rFonts w:ascii="Open Sans" w:hAnsi="Open Sans" w:eastAsia="Open Sans" w:cs="Open Sans"/>
          <w:sz w:val="20"/>
          <w:szCs w:val="20"/>
        </w:rPr>
        <w:t xml:space="preserve">local </w:t>
      </w:r>
      <w:r>
        <w:rPr>
          <w:rFonts w:ascii="Open Sans" w:hAnsi="Open Sans" w:eastAsia="Open Sans" w:cs="Open Sans"/>
          <w:sz w:val="20"/>
          <w:szCs w:val="20"/>
        </w:rPr>
        <w:t xml:space="preserve">artists</w:t>
      </w:r>
      <w:r>
        <w:rPr>
          <w:rFonts w:ascii="Open Sans" w:hAnsi="Open Sans" w:eastAsia="Open Sans" w:cs="Open Sans"/>
          <w:sz w:val="20"/>
          <w:szCs w:val="20"/>
        </w:rPr>
        <w:t xml:space="preserve">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0" w:type="auto"/>
        <w:tblLayout w:type="autofit"/>
      </w:tblPr>
      <w:tr>
        <w:trPr/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Km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 Condition</w:t>
            </w:r>
          </w:p>
        </w:tc>
      </w:tr>
      <w:tr>
        <w:trPr/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Metropole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Manzi Art Space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3.5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minutes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 Good</w:t>
            </w:r>
          </w:p>
        </w:tc>
      </w:tr>
      <w:tr>
        <w:trPr/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Metropole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Artist’s place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5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20 minutes</w:t>
            </w:r>
          </w:p>
        </w:tc>
        <w:tc>
          <w:tcPr/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 Good</w:t>
            </w:r>
          </w:p>
        </w:tc>
      </w:tr>
    </w:tbl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47.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44.8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99.7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HANOI – MEET VIETNAMESE CONTEMPORARY ART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EC25F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8D36BA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9FC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/backu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2024-04-29T19:11:12+00:00</dcterms:created>
  <dcterms:modified xsi:type="dcterms:W3CDTF">2024-04-29T19:11:12+00:00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