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Ratanakiri – A Venture into Cambodia’s Remote Far East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Ratanakiri</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Best period from November to March. April &amp; May hottest season, and June, July occasional rainfall </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Ratanakiri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Ratanakiri</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tour offers the opportunity to visit a remote tribal village located in an area outside Ban Lung by using different means of transport, such as a local ferry, a boat, walking, and a motorized tractor known as a Kuyon, traveling through an exciting mix of forest and jungle with opportunity for interaction with the villagers.</w:t>
      </w:r>
      <w:br/>
      <w:r>
        <w:rPr>
          <w:rFonts w:ascii="Open Sans" w:hAnsi="Open Sans" w:eastAsia="Open Sans" w:cs="Open Sans"/>
          <w:sz w:val="20"/>
          <w:szCs w:val="20"/>
        </w:rPr>
        <w:t xml:space="preserve">This full-day private tour is designed for beginner-level and experienced hikers, allowing them the unique experience of being in direct contact with the local tribe while learning about their culture, lifestyle, and cuisine. The day starts with a short transfer aboard a ferry, a ride on a local tractor, a moderate hike for about 3 hours through the jungle, and ends with an experience in a small boat on a river before heading back by tractor again. As part of the day, guests will have the chance to enjoy lunch cooked by the villagers and learn about edible plants and some basic techniques to survive in the jungle. All the while, they will be surrounded by an incredible natural environment.</w:t>
      </w:r>
      <w:br/>
      <w:r>
        <w:rPr>
          <w:rFonts w:ascii="Open Sans" w:hAnsi="Open Sans" w:eastAsia="Open Sans" w:cs="Open Sans"/>
          <w:sz w:val="20"/>
          <w:szCs w:val="20"/>
          <w:i w:val="1"/>
          <w:iCs w:val="1"/>
        </w:rPr>
        <w:t xml:space="preserve">Distance &amp; duration of hiking: 10 kilometers – 3 hours (full-day including the visits)</w:t>
      </w:r>
      <w:br/>
      <w:r>
        <w:rPr>
          <w:rFonts w:ascii="Open Sans" w:hAnsi="Open Sans" w:eastAsia="Open Sans" w:cs="Open Sans"/>
          <w:sz w:val="20"/>
          <w:szCs w:val="20"/>
          <w:i w:val="1"/>
          <w:iCs w:val="1"/>
        </w:rPr>
        <w:t xml:space="preserve">Level: 2</w:t>
      </w:r>
      <w:br/>
      <w:r>
        <w:rPr>
          <w:rFonts w:ascii="Open Sans" w:hAnsi="Open Sans" w:eastAsia="Open Sans" w:cs="Open Sans"/>
          <w:sz w:val="20"/>
          <w:szCs w:val="20"/>
          <w:i w:val="1"/>
          <w:iCs w:val="1"/>
        </w:rPr>
        <w:t xml:space="preserve">Net elevation gain: + 300 meters </w:t>
      </w:r>
      <w:br/>
      <w:r>
        <w:rPr>
          <w:rFonts w:ascii="Open Sans" w:hAnsi="Open Sans" w:eastAsia="Open Sans" w:cs="Open Sans"/>
          <w:sz w:val="20"/>
          <w:szCs w:val="20"/>
          <w:i w:val="1"/>
          <w:iCs w:val="1"/>
        </w:rPr>
        <w:t xml:space="preserve">Terrain: Mainly jungle trails, through forest</w:t>
      </w:r>
      <w:br/>
      <w:r>
        <w:rPr>
          <w:rFonts w:ascii="Open Sans" w:hAnsi="Open Sans" w:eastAsia="Open Sans" w:cs="Open Sans"/>
          <w:sz w:val="20"/>
          <w:szCs w:val="20"/>
          <w:i w:val="1"/>
          <w:iCs w:val="1"/>
        </w:rPr>
        <w:t xml:space="preserve">Transportation: Full-day vehicle support / 30 kilometers – 1 hour – (From Hotel to starting point) / 30 kilometers – 1 hour – (From ending point to Hotel)</w:t>
      </w:r>
      <w:br/>
      <w:r>
        <w:rPr>
          <w:rFonts w:ascii="Open Sans" w:hAnsi="Open Sans" w:eastAsia="Open Sans" w:cs="Open Sans"/>
          <w:sz w:val="20"/>
          <w:szCs w:val="20"/>
          <w:i w:val="1"/>
          <w:iCs w:val="1"/>
        </w:rPr>
        <w:t xml:space="preserve">Note: There is a possibility to reduce the hiking distance by extending the transfer by motorized tractor</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This rare opportunity to travel deep</w:t>
      </w:r>
      <w:r>
        <w:rPr>
          <w:rFonts w:ascii="Open Sans" w:hAnsi="Open Sans" w:eastAsia="Open Sans" w:cs="Open Sans"/>
          <w:sz w:val="20"/>
          <w:szCs w:val="20"/>
        </w:rPr>
        <w:t xml:space="preserve"> into the</w:t>
      </w:r>
      <w:r>
        <w:rPr>
          <w:rFonts w:ascii="Open Sans" w:hAnsi="Open Sans" w:eastAsia="Open Sans" w:cs="Open Sans"/>
          <w:sz w:val="20"/>
          <w:szCs w:val="20"/>
        </w:rPr>
        <w:t xml:space="preserve"> forest to </w:t>
      </w:r>
      <w:r>
        <w:rPr>
          <w:rFonts w:ascii="Open Sans" w:hAnsi="Open Sans" w:eastAsia="Open Sans" w:cs="Open Sans"/>
          <w:sz w:val="20"/>
          <w:szCs w:val="20"/>
        </w:rPr>
        <w:t xml:space="preserve">meet</w:t>
      </w:r>
      <w:r>
        <w:rPr>
          <w:rFonts w:ascii="Open Sans" w:hAnsi="Open Sans" w:eastAsia="Open Sans" w:cs="Open Sans"/>
          <w:sz w:val="20"/>
          <w:szCs w:val="20"/>
        </w:rPr>
        <w:t xml:space="preserve"> </w:t>
      </w:r>
      <w:r>
        <w:rPr>
          <w:rFonts w:ascii="Open Sans" w:hAnsi="Open Sans" w:eastAsia="Open Sans" w:cs="Open Sans"/>
          <w:sz w:val="20"/>
          <w:szCs w:val="20"/>
        </w:rPr>
        <w:t xml:space="preserve">a</w:t>
      </w:r>
      <w:r>
        <w:rPr>
          <w:rFonts w:ascii="Open Sans" w:hAnsi="Open Sans" w:eastAsia="Open Sans" w:cs="Open Sans"/>
          <w:sz w:val="20"/>
          <w:szCs w:val="20"/>
        </w:rPr>
        <w:t xml:space="preserve"> tribe </w:t>
      </w:r>
      <w:r>
        <w:rPr>
          <w:rFonts w:ascii="Open Sans" w:hAnsi="Open Sans" w:eastAsia="Open Sans" w:cs="Open Sans"/>
          <w:sz w:val="20"/>
          <w:szCs w:val="20"/>
        </w:rPr>
        <w:t xml:space="preserve">of</w:t>
      </w:r>
      <w:r>
        <w:rPr>
          <w:rFonts w:ascii="Open Sans" w:hAnsi="Open Sans" w:eastAsia="Open Sans" w:cs="Open Sans"/>
          <w:sz w:val="20"/>
          <w:szCs w:val="20"/>
        </w:rPr>
        <w:t xml:space="preserve"> Ratanakiri</w:t>
      </w:r>
    </w:p>
    <w:p>
      <w:pPr>
        <w:pPr/>
        <w:numPr>
          <w:ilvl w:val="0"/>
          <w:numId w:val="7"/>
        </w:numPr>
      </w:pPr>
      <w:r>
        <w:rPr>
          <w:rFonts w:ascii="Open Sans" w:hAnsi="Open Sans" w:eastAsia="Open Sans" w:cs="Open Sans"/>
          <w:sz w:val="20"/>
          <w:szCs w:val="20"/>
        </w:rPr>
        <w:t xml:space="preserve">Use</w:t>
      </w:r>
      <w:r>
        <w:rPr>
          <w:rFonts w:ascii="Open Sans" w:hAnsi="Open Sans" w:eastAsia="Open Sans" w:cs="Open Sans"/>
          <w:sz w:val="20"/>
          <w:szCs w:val="20"/>
        </w:rPr>
        <w:t xml:space="preserve">s</w:t>
      </w:r>
      <w:r>
        <w:rPr>
          <w:rFonts w:ascii="Open Sans" w:hAnsi="Open Sans" w:eastAsia="Open Sans" w:cs="Open Sans"/>
          <w:sz w:val="20"/>
          <w:szCs w:val="20"/>
        </w:rPr>
        <w:t xml:space="preserve"> the traditional means of tra</w:t>
      </w:r>
      <w:r>
        <w:rPr>
          <w:rFonts w:ascii="Open Sans" w:hAnsi="Open Sans" w:eastAsia="Open Sans" w:cs="Open Sans"/>
          <w:sz w:val="20"/>
          <w:szCs w:val="20"/>
        </w:rPr>
        <w:t xml:space="preserve">nsport</w:t>
      </w:r>
      <w:r>
        <w:rPr>
          <w:rFonts w:ascii="Open Sans" w:hAnsi="Open Sans" w:eastAsia="Open Sans" w:cs="Open Sans"/>
          <w:sz w:val="20"/>
          <w:szCs w:val="20"/>
        </w:rPr>
        <w:t xml:space="preserve"> to reach a local tribe</w:t>
      </w:r>
    </w:p>
    <w:p>
      <w:pPr>
        <w:pPr/>
        <w:numPr>
          <w:ilvl w:val="0"/>
          <w:numId w:val="7"/>
        </w:numPr>
      </w:pPr>
      <w:r>
        <w:rPr>
          <w:rFonts w:ascii="Open Sans" w:hAnsi="Open Sans" w:eastAsia="Open Sans" w:cs="Open Sans"/>
          <w:sz w:val="20"/>
          <w:szCs w:val="20"/>
        </w:rPr>
        <w:t xml:space="preserve">Learn about the edible plants of the jungle</w:t>
      </w:r>
    </w:p>
    <w:p>
      <w:pPr>
        <w:pPr/>
        <w:numPr>
          <w:ilvl w:val="0"/>
          <w:numId w:val="7"/>
        </w:numPr>
      </w:pPr>
      <w:r>
        <w:rPr>
          <w:rFonts w:ascii="Open Sans" w:hAnsi="Open Sans" w:eastAsia="Open Sans" w:cs="Open Sans"/>
          <w:sz w:val="20"/>
          <w:szCs w:val="20"/>
        </w:rPr>
        <w:t xml:space="preserve">Learn about the culture, lifestyle, and cuisine of the local tribe</w:t>
      </w:r>
    </w:p>
    <w:p>
      <w:pPr>
        <w:pPr/>
        <w:numPr>
          <w:ilvl w:val="0"/>
          <w:numId w:val="7"/>
        </w:numPr>
      </w:pPr>
      <w:r>
        <w:rPr>
          <w:rFonts w:ascii="Open Sans" w:hAnsi="Open Sans" w:eastAsia="Open Sans" w:cs="Open Sans"/>
          <w:sz w:val="20"/>
          <w:szCs w:val="20"/>
        </w:rPr>
        <w:t xml:space="preserve">Relaxed</w:t>
      </w:r>
      <w:r>
        <w:rPr>
          <w:rFonts w:ascii="Open Sans" w:hAnsi="Open Sans" w:eastAsia="Open Sans" w:cs="Open Sans"/>
          <w:sz w:val="20"/>
          <w:szCs w:val="20"/>
        </w:rPr>
        <w:t xml:space="preserve"> and interactive way of exploring Ratanakiri</w:t>
      </w:r>
    </w:p>
    <w:p>
      <w:pPr>
        <w:pStyle w:val="Heading2"/>
      </w:pPr>
      <w:bookmarkStart w:id="5" w:name="_Toc5"/>
      <w:r>
        <w:t>Time And Transportation</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Ending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r>
        <w:rPr>
          <w:rFonts w:ascii="Open Sans" w:hAnsi="Open Sans" w:eastAsia="Open Sans" w:cs="Open Sans"/>
          <w:sz w:val="20"/>
          <w:szCs w:val="20"/>
        </w:rPr>
        <w:t xml:space="preserve">From November till end of April possible to reach the starting point by big buses</w:t>
      </w:r>
      <w:br/>
      <w:r>
        <w:rPr>
          <w:rFonts w:ascii="Open Sans" w:hAnsi="Open Sans" w:eastAsia="Open Sans" w:cs="Open Sans"/>
          <w:sz w:val="20"/>
          <w:szCs w:val="20"/>
        </w:rPr>
        <w:t xml:space="preserve">From end of May to October only wit 25 or 15 seats buses</w:t>
      </w:r>
      <w:br/>
      <w:r>
        <w:rPr>
          <w:rFonts w:ascii="Open Sans" w:hAnsi="Open Sans" w:eastAsia="Open Sans" w:cs="Open Sans"/>
          <w:sz w:val="20"/>
          <w:szCs w:val="20"/>
        </w:rPr>
        <w:t xml:space="preserve"> </w:t>
      </w:r>
    </w:p>
    <w:p>
      <w:pPr>
        <w:pStyle w:val="Heading2"/>
      </w:pPr>
      <w:bookmarkStart w:id="6" w:name="_Toc6"/>
      <w:r>
        <w:t>Photos</w:t>
      </w:r>
      <w:bookmarkEnd w:id="6"/>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0.15pt; margin-left:-1pt; margin-top:-1pt; mso-position-horizontal:left; mso-position-vertical:top; mso-position-horizontal-relative:char; mso-position-vertical-relative:line; z-index:-2147483647;">
            <v:imagedata r:id="rId8" o:title=""/>
          </v:shape>
        </w:pict>
      </w:r>
    </w:p>
    <w:p>
      <w:pPr/>
      <w:r>
        <w:pict>
          <v:shape type="#_x0000_t75" style="width:450pt; height:300.15pt; margin-left:-1pt; margin-top:-1pt; mso-position-horizontal:left; mso-position-vertical:top; mso-position-horizontal-relative:char; mso-position-vertical-relative:line; z-index:-2147483647;">
            <v:imagedata r:id="rId9" o:title=""/>
          </v:shape>
        </w:pict>
      </w:r>
    </w:p>
    <w:p>
      <w:pPr/>
      <w:r>
        <w:pict>
          <v:shape type="#_x0000_t75" style="width:450pt; height:300.15pt; margin-left:-1pt; margin-top:-1pt; mso-position-horizontal:left; mso-position-vertical:top; mso-position-horizontal-relative:char; mso-position-vertical-relative:line; z-index:-2147483647;">
            <v:imagedata r:id="rId10" o:title=""/>
          </v:shape>
        </w:pict>
      </w:r>
    </w:p>
    <w:p>
      <w:pPr/>
      <w:r>
        <w:pict>
          <v:shape type="#_x0000_t75" style="width:450pt; height:300.15pt; margin-left:-1pt; margin-top:-1pt; mso-position-horizontal:left; mso-position-vertical:top; mso-position-horizontal-relative:char; mso-position-vertical-relative:line; z-index:-2147483647;">
            <v:imagedata r:id="rId11" o:title=""/>
          </v:shape>
        </w:pict>
      </w:r>
    </w:p>
    <w:p>
      <w:pPr/>
      <w:r>
        <w:pict>
          <v:shape type="#_x0000_t75" style="width:450pt; height:300.15pt; margin-left:-1pt; margin-top:-1pt; mso-position-horizontal:left; mso-position-vertical:top; mso-position-horizontal-relative:char; mso-position-vertical-relative:line; z-index:-2147483647;">
            <v:imagedata r:id="rId12" o:title=""/>
          </v:shape>
        </w:pict>
      </w:r>
    </w:p>
    <w:p>
      <w:pPr/>
      <w:r>
        <w:pict>
          <v:shape type="#_x0000_t75" style="width:450pt; height:300.15pt; margin-left:-1pt; margin-top:-1pt; mso-position-horizontal:left; mso-position-vertical:top; mso-position-horizontal-relative:char; mso-position-vertical-relative:line; z-index:-2147483647;">
            <v:imagedata r:id="rId13" o:title=""/>
          </v:shape>
        </w:pict>
      </w:r>
    </w:p>
    <w:p>
      <w:pPr/>
      <w:r>
        <w:pict>
          <v:shape type="#_x0000_t75" style="width:450pt; height:300.15pt; margin-left:-1pt; margin-top:-1pt; mso-position-horizontal:left; mso-position-vertical:top; mso-position-horizontal-relative:char; mso-position-vertical-relative:line; z-index:-2147483647;">
            <v:imagedata r:id="rId14" o:title=""/>
          </v:shape>
        </w:pict>
      </w:r>
    </w:p>
    <w:p>
      <w:pPr/>
      <w:r>
        <w:pict>
          <v:shape type="#_x0000_t75" style="width:450pt; height:300.15pt; margin-left:-1pt; margin-top:-1pt; mso-position-horizontal:left; mso-position-vertical:top; mso-position-horizontal-relative:char; mso-position-vertical-relative:line; z-index:-2147483647;">
            <v:imagedata r:id="rId15" o:title=""/>
          </v:shape>
        </w:pict>
      </w:r>
    </w:p>
    <w:p>
      <w:pPr/>
      <w:r>
        <w:pict>
          <v:shape type="#_x0000_t75" style="width:450pt; height:300.15pt; margin-left:-1pt; margin-top:-1pt; mso-position-horizontal:left; mso-position-vertical:top; mso-position-horizontal-relative:char; mso-position-vertical-relative:line; z-index:-2147483647;">
            <v:imagedata r:id="rId16" o:title=""/>
          </v:shape>
        </w:pict>
      </w:r>
    </w:p>
    <w:p>
      <w:pPr/>
      <w:r>
        <w:pict>
          <v:shape type="#_x0000_t75" style="width:450pt; height:300.15pt; margin-left:-1pt; margin-top:-1pt; mso-position-horizontal:left; mso-position-vertical:top; mso-position-horizontal-relative:char; mso-position-vertical-relative:line; z-index:-2147483647;">
            <v:imagedata r:id="rId17" o:title=""/>
          </v:shape>
        </w:pict>
      </w:r>
    </w:p>
    <w:p>
      <w:pPr/>
      <w:r>
        <w:pict>
          <v:shape type="#_x0000_t75" style="width:450pt; height:300.15pt; margin-left:-1pt; margin-top:-1pt; mso-position-horizontal:left; mso-position-vertical:top; mso-position-horizontal-relative:char; mso-position-vertical-relative:line; z-index:-2147483647;">
            <v:imagedata r:id="rId18" o:title=""/>
          </v:shape>
        </w:pict>
      </w:r>
    </w:p>
    <w:p>
      <w:pPr/>
      <w:r>
        <w:pict>
          <v:shape type="#_x0000_t75" style="width:450pt; height:300.15pt; margin-left:-1pt; margin-top:-1pt; mso-position-horizontal:left; mso-position-vertical:top; mso-position-horizontal-relative:char; mso-position-vertical-relative:line; z-index:-2147483647;">
            <v:imagedata r:id="rId19" o:title=""/>
          </v:shape>
        </w:pict>
      </w:r>
    </w:p>
    <w:p>
      <w:pPr/>
      <w:r>
        <w:pict>
          <v:shape type="#_x0000_t75" style="width:450pt; height:300.15pt; margin-left:-1pt; margin-top:-1pt; mso-position-horizontal:left; mso-position-vertical:top; mso-position-horizontal-relative:char; mso-position-vertical-relative:line; z-index:-2147483647;">
            <v:imagedata r:id="rId20" o:title=""/>
          </v:shape>
        </w:pict>
      </w:r>
    </w:p>
    <w:p>
      <w:pPr/>
      <w:r>
        <w:pict>
          <v:shape type="#_x0000_t75" style="width:450pt; height:300.15pt; margin-left:-1pt; margin-top:-1pt; mso-position-horizontal:left; mso-position-vertical:top; mso-position-horizontal-relative:char; mso-position-vertical-relative:line; z-index:-2147483647;">
            <v:imagedata r:id="rId21" o:title=""/>
          </v:shape>
        </w:pict>
      </w:r>
    </w:p>
    <w:p>
      <w:pPr/>
      <w:r>
        <w:pict>
          <v:shape type="#_x0000_t75" style="width:450pt; height:300.15pt; margin-left:-1pt; margin-top:-1pt; mso-position-horizontal:left; mso-position-vertical:top; mso-position-horizontal-relative:char; mso-position-vertical-relative:line; z-index:-2147483647;">
            <v:imagedata r:id="rId22" o:title=""/>
          </v:shape>
        </w:pict>
      </w:r>
    </w:p>
    <w:p>
      <w:pPr/>
      <w:r>
        <w:pict>
          <v:shape type="#_x0000_t75" style="width:450pt; height:300.15pt; margin-left:-1pt; margin-top:-1pt; mso-position-horizontal:left; mso-position-vertical:top; mso-position-horizontal-relative:char; mso-position-vertical-relative:line; z-index:-2147483647;">
            <v:imagedata r:id="rId23" o:title=""/>
          </v:shape>
        </w:pict>
      </w:r>
    </w:p>
    <w:p>
      <w:pPr/>
      <w:r>
        <w:pict>
          <v:shape type="#_x0000_t75" style="width:450pt; height:300.15pt; margin-left:-1pt; margin-top:-1pt; mso-position-horizontal:left; mso-position-vertical:top; mso-position-horizontal-relative:char; mso-position-vertical-relative:line; z-index:-2147483647;">
            <v:imagedata r:id="rId24" o:title=""/>
          </v:shape>
        </w:pict>
      </w:r>
    </w:p>
    <w:p>
      <w:pPr/>
      <w:r>
        <w:pict>
          <v:shape type="#_x0000_t75" style="width:450pt; height:300.15pt; margin-left:-1pt; margin-top:-1pt; mso-position-horizontal:left; mso-position-vertical:top; mso-position-horizontal-relative:char; mso-position-vertical-relative:line; z-index:-2147483647;">
            <v:imagedata r:id="rId25" o:title=""/>
          </v:shape>
        </w:pict>
      </w:r>
    </w:p>
    <w:p>
      <w:pPr/>
      <w:r>
        <w:pict>
          <v:shape type="#_x0000_t75" style="width:450pt; height:300.15pt; margin-left:-1pt; margin-top:-1pt; mso-position-horizontal:left; mso-position-vertical:top; mso-position-horizontal-relative:char; mso-position-vertical-relative:line; z-index:-2147483647;">
            <v:imagedata r:id="rId26" o:title=""/>
          </v:shape>
        </w:pict>
      </w:r>
    </w:p>
    <w:p>
      <w:pPr/>
      <w:r>
        <w:pict>
          <v:shape type="#_x0000_t75" style="width:450pt; height:300.15pt; margin-left:-1pt; margin-top:-1pt; mso-position-horizontal:left; mso-position-vertical:top; mso-position-horizontal-relative:char; mso-position-vertical-relative:line; z-index:-2147483647;">
            <v:imagedata r:id="rId27" o:title=""/>
          </v:shape>
        </w:pict>
      </w:r>
    </w:p>
    <w:p>
      <w:pPr>
        <w:pStyle w:val="Heading2"/>
      </w:pPr>
      <w:bookmarkStart w:id="7" w:name="_Toc7"/>
      <w:r>
        <w:t>Easia Travel Head Office</w:t>
      </w:r>
      <w:bookmarkEnd w:id="7"/>
    </w:p>
    <w:p>
      <w:pPr/>
      <w:r>
        <w:pict>
          <v:shape id="_x0000_s1058"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28"/>
      <w:footerReference w:type="default" r:id="rId29"/>
      <w:footerReference w:type="default" r:id="rId3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RATANAKIRI – A VENTURE INTO CAMBODIA’S REMOTE FAR EAST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A75A829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2024-05-02T06:12:08+00:00</dcterms:created>
  <dcterms:modified xsi:type="dcterms:W3CDTF">2024-05-02T06:12:08+00:00</dcterms:modified>
</cp:coreProperties>
</file>

<file path=docProps/custom.xml><?xml version="1.0" encoding="utf-8"?>
<Properties xmlns="http://schemas.openxmlformats.org/officeDocument/2006/custom-properties" xmlns:vt="http://schemas.openxmlformats.org/officeDocument/2006/docPropsVTypes"/>
</file>