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LAOS – Xieng Khuang – Visit the MAG and UXO Centers</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Laos - Xieng Khuang</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20</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Phonsavan</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Phonsavan</w:t>
      </w:r>
    </w:p>
    <w:p>
      <w:pPr>
        <w:pStyle w:val="Heading2"/>
      </w:pPr>
      <w:bookmarkStart w:id="3" w:name="_Toc3"/>
      <w:r>
        <w:t>Description</w:t>
      </w:r>
      <w:bookmarkEnd w:id="3"/>
    </w:p>
    <w:p>
      <w:pPr/>
      <w:r>
        <w:pict>
          <v:shape id="_x0000_s1022"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Between 1964 and 1973 more than two million tons of bombs were dropped on Laos. An estimated 30 per cent of them did not detonate, and continue to kill and injure. MAG has been clearing the deadly legacy of the bombing in Laos since 1994, saving lives and building safer futures for local communities. At the MAG visitor center it is possible to learn how the bombs got there, how they affect people and how MAG clears them; watch films, including the acclaimed documentaries Bomb Harvest and Surviving the Peace; and view incredible images, including features on scrap metal collection and all-female clearance teams. The visit to the MAG Center will be complemented by an additional visit to the nearby UXO Museum</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Xieng Khuang – Visit Plain of Jars and Muang Khoung</w:t>
        </w:r>
      </w:hyperlink>
    </w:p>
    <w:p>
      <w:pPr>
        <w:pPr/>
        <w:numPr>
          <w:ilvl w:val="0"/>
          <w:numId w:val="7"/>
        </w:numPr>
      </w:pPr>
      <w:hyperlink r:id="rId9" w:history="1">
        <w:r>
          <w:rPr/>
          <w:t xml:space="preserve">Xieng Khuang – Mulberries Silk Farm</w:t>
        </w:r>
      </w:hyperlink>
    </w:p>
    <w:p>
      <w:pPr>
        <w:pPr/>
        <w:numPr>
          <w:ilvl w:val="0"/>
          <w:numId w:val="7"/>
        </w:numPr>
      </w:pPr>
      <w:hyperlink r:id="rId10" w:history="1">
        <w:r>
          <w:rPr/>
          <w:t xml:space="preserve">Xieng Khuang – Visit the Xieng Khuang Provincial Museum</w:t>
        </w:r>
      </w:hyperlink>
    </w:p>
    <w:p>
      <w:pPr>
        <w:pStyle w:val="Heading2"/>
      </w:pPr>
      <w:bookmarkStart w:id="4" w:name="_Toc4"/>
      <w:r>
        <w:t>Selling points</w:t>
      </w:r>
      <w:bookmarkEnd w:id="4"/>
    </w:p>
    <w:p>
      <w:pPr/>
      <w:r>
        <w:pict>
          <v:shape id="_x0000_s1030"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8"/>
        </w:numPr>
      </w:pPr>
      <w:r>
        <w:rPr>
          <w:rFonts w:ascii="Open Sans" w:hAnsi="Open Sans" w:eastAsia="Open Sans" w:cs="Open Sans"/>
          <w:color w:val="333333"/>
          <w:sz w:val="20"/>
          <w:szCs w:val="20"/>
        </w:rPr>
        <w:t xml:space="preserve">A good opportunity for people interested in the history of Laos.</w:t>
      </w:r>
    </w:p>
    <w:p>
      <w:pPr>
        <w:pPr/>
        <w:numPr>
          <w:ilvl w:val="0"/>
          <w:numId w:val="8"/>
        </w:numPr>
      </w:pPr>
      <w:r>
        <w:rPr>
          <w:rFonts w:ascii="Open Sans" w:hAnsi="Open Sans" w:eastAsia="Open Sans" w:cs="Open Sans"/>
          <w:color w:val="333333"/>
          <w:sz w:val="20"/>
          <w:szCs w:val="20"/>
        </w:rPr>
        <w:t xml:space="preserve">An opportunity to make a positive impact in the local community.</w:t>
      </w:r>
    </w:p>
    <w:p>
      <w:pPr>
        <w:pPr/>
        <w:numPr>
          <w:ilvl w:val="0"/>
          <w:numId w:val="8"/>
        </w:numPr>
      </w:pPr>
      <w:r>
        <w:rPr>
          <w:rFonts w:ascii="Open Sans" w:hAnsi="Open Sans" w:eastAsia="Open Sans" w:cs="Open Sans"/>
          <w:color w:val="333333"/>
          <w:sz w:val="20"/>
          <w:szCs w:val="20"/>
        </w:rPr>
        <w:t xml:space="preserve">A sustainable activity which supports the communities affected by the war.</w:t>
      </w:r>
    </w:p>
    <w:p>
      <w:pPr>
        <w:pPr/>
        <w:numPr>
          <w:ilvl w:val="0"/>
          <w:numId w:val="8"/>
        </w:numPr>
      </w:pPr>
      <w:r>
        <w:rPr>
          <w:rFonts w:ascii="Open Sans" w:hAnsi="Open Sans" w:eastAsia="Open Sans" w:cs="Open Sans"/>
          <w:color w:val="333333"/>
          <w:sz w:val="20"/>
          <w:szCs w:val="20"/>
        </w:rPr>
        <w:t xml:space="preserve">An interesting activity in the town center which complements a visit of the Jar Sites, also affected by UXO and cleared by MAG.</w:t>
      </w:r>
    </w:p>
    <w:p>
      <w:pPr>
        <w:pPr/>
        <w:numPr>
          <w:ilvl w:val="0"/>
          <w:numId w:val="8"/>
        </w:numPr>
      </w:pPr>
      <w:r>
        <w:rPr>
          <w:rFonts w:ascii="Open Sans" w:hAnsi="Open Sans" w:eastAsia="Open Sans" w:cs="Open Sans"/>
          <w:color w:val="333333"/>
          <w:sz w:val="20"/>
          <w:szCs w:val="20"/>
        </w:rPr>
        <w:t xml:space="preserve">A short activity ideal as a time filler.</w:t>
      </w:r>
    </w:p>
    <w:p>
      <w:pPr>
        <w:pStyle w:val="Heading2"/>
      </w:pPr>
      <w:bookmarkStart w:id="5" w:name="_Toc5"/>
      <w:r>
        <w:t>Time And Transportation</w:t>
      </w:r>
      <w:bookmarkEnd w:id="5"/>
    </w:p>
    <w:p>
      <w:pPr/>
      <w:r>
        <w:pict>
          <v:shape id="_x0000_s1037"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From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To</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Km</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By</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Duration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b w:val="1"/>
                <w:bCs w:val="1"/>
              </w:rPr>
              <w:t xml:space="preserve">Road condition</w:t>
            </w:r>
          </w:p>
        </w:tc>
      </w:tr>
      <w:tr>
        <w:trPr/>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Vansana Plain of Jars Hotel</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MAG and UXO Center</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2</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Minivan</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5 minutes</w:t>
            </w:r>
          </w:p>
        </w:tc>
        <w:tc>
          <w:tcPr>
            <w:tcBorders>
              <w:top w:val="single" w:sz="0.75" w:color="222222"/>
              <w:left w:val="single" w:sz="0.75" w:color="222222"/>
              <w:right w:val="single" w:sz="0.75" w:color="222222"/>
              <w:bottom w:val="single" w:sz="0.75" w:color="222222"/>
            </w:tcBorders>
          </w:tcPr>
          <w:p>
            <w:pPr/>
            <w:r>
              <w:rPr>
                <w:rFonts w:ascii="Open Sans" w:hAnsi="Open Sans" w:eastAsia="Open Sans" w:cs="Open Sans"/>
                <w:sz w:val="20"/>
                <w:szCs w:val="20"/>
              </w:rPr>
              <w:t xml:space="preserve">Good</w:t>
            </w:r>
          </w:p>
        </w:tc>
      </w:tr>
    </w:tbl>
    <w:p>
      <w:pPr/>
      <w:r>
        <w:rPr>
          <w:rFonts w:ascii="Open Sans" w:hAnsi="Open Sans" w:eastAsia="Open Sans" w:cs="Open Sans"/>
          <w:sz w:val="20"/>
          <w:szCs w:val="20"/>
        </w:rPr>
        <w:t xml:space="preserve"> </w:t>
      </w:r>
    </w:p>
    <w:p>
      <w:pPr>
        <w:pStyle w:val="Heading2"/>
      </w:pPr>
      <w:bookmarkStart w:id="6" w:name="_Toc6"/>
      <w:r>
        <w:t>Photos</w:t>
      </w:r>
      <w:bookmarkEnd w:id="6"/>
    </w:p>
    <w:p>
      <w:pPr/>
      <w:r>
        <w:pict>
          <v:shape id="_x0000_s1041"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1" o:title=""/>
          </v:shape>
        </w:pict>
      </w:r>
    </w:p>
    <w:p>
      <w:pPr/>
      <w:r>
        <w:pict>
          <v:shape type="#_x0000_t75" style="width:450pt; height:244.18604651163pt; margin-left:-1pt; margin-top:-1pt; mso-position-horizontal:left; mso-position-vertical:top; mso-position-horizontal-relative:char; mso-position-vertical-relative:line; z-index:-2147483647;">
            <v:imagedata r:id="rId12" o:title=""/>
          </v:shape>
        </w:pict>
      </w:r>
    </w:p>
    <w:p>
      <w:pPr>
        <w:pStyle w:val="Heading2"/>
      </w:pPr>
      <w:bookmarkStart w:id="7" w:name="_Toc7"/>
      <w:r>
        <w:t>Easia Travel Head Office</w:t>
      </w:r>
      <w:bookmarkEnd w:id="7"/>
    </w:p>
    <w:p>
      <w:pPr/>
      <w:r>
        <w:pict>
          <v:shape id="_x0000_s1046"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hyperlink r:id="rId13" w:history="1">
        <w:r>
          <w:rPr/>
          <w:t xml:space="preserve">www.easia-travel.com</w:t>
        </w:r>
      </w:hyperlink>
    </w:p>
    <w:sectPr>
      <w:headerReference w:type="default" r:id="rId14"/>
      <w:footerReference w:type="default" r:id="rId15"/>
      <w:footerReference w:type="default" r:id="rId16"/>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LAOS – XIENG KHUANG – VISIT THE MAG AND UXO CENTERS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160D00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CBD67C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8790/" TargetMode="External"/><Relationship Id="rId9" Type="http://schemas.openxmlformats.org/officeDocument/2006/relationships/hyperlink" Target="http://www.easia-travel.com/agent-hub/product_activity/38787/" TargetMode="External"/><Relationship Id="rId10" Type="http://schemas.openxmlformats.org/officeDocument/2006/relationships/hyperlink" Target="http://www.easia-travel.com/agent-hub/product_activity/77487/" TargetMode="External"/><Relationship Id="rId11" Type="http://schemas.openxmlformats.org/officeDocument/2006/relationships/image" Target="media/section_image2.jpg"/><Relationship Id="rId12" Type="http://schemas.openxmlformats.org/officeDocument/2006/relationships/image" Target="media/section_image3.jpg"/><Relationship Id="rId13" Type="http://schemas.openxmlformats.org/officeDocument/2006/relationships/hyperlink" Target="http://www.easia-travel.com/backup"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2024-04-20T09:52:12+00:00</dcterms:created>
  <dcterms:modified xsi:type="dcterms:W3CDTF">2024-04-20T09:52:12+00:00</dcterms:modified>
</cp:coreProperties>
</file>

<file path=docProps/custom.xml><?xml version="1.0" encoding="utf-8"?>
<Properties xmlns="http://schemas.openxmlformats.org/officeDocument/2006/custom-properties" xmlns:vt="http://schemas.openxmlformats.org/officeDocument/2006/docPropsVTypes"/>
</file>