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THAILAND – Khura Buri – Surin Islands Snorkeling and Moken Village</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Beach Stay</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Thailand - Phang Nga</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0</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30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From November to April only - Mu Koh Surin National Park is closed during rainy season </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Khura Buri - Khao Lak </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Khura Buri - Khao Lak </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This full-day tour starts at Khura Buri Greenview pier, where a two engine speedboat will take the travelers to the Surin Archipelago.</w:t>
      </w:r>
      <w:br/>
      <w:r>
        <w:rPr>
          <w:rFonts w:ascii="Open Sans" w:hAnsi="Open Sans" w:eastAsia="Open Sans" w:cs="Open Sans"/>
          <w:sz w:val="20"/>
          <w:szCs w:val="20"/>
        </w:rPr>
        <w:t xml:space="preserve">After a safety briefing by staff about how to snorkel, and ensuring that the mask, snorkel, and fins are correctly sized for each participant, the boat will depart on the 1 hour 15-minute ride to the beautiful Surin Islands Archipelago.</w:t>
      </w:r>
      <w:br/>
      <w:r>
        <w:rPr>
          <w:rFonts w:ascii="Open Sans" w:hAnsi="Open Sans" w:eastAsia="Open Sans" w:cs="Open Sans"/>
          <w:sz w:val="20"/>
          <w:szCs w:val="20"/>
        </w:rPr>
        <w:t xml:space="preserve">3 snorkeling sessions are scheduled. The crew can adjust spots depending on the weather, and the guides’ expertise provides the best snorkeling experience and an excellent encounter with underwater fauna.</w:t>
      </w:r>
      <w:br/>
      <w:r>
        <w:rPr>
          <w:rFonts w:ascii="Open Sans" w:hAnsi="Open Sans" w:eastAsia="Open Sans" w:cs="Open Sans"/>
          <w:sz w:val="20"/>
          <w:szCs w:val="20"/>
        </w:rPr>
        <w:t xml:space="preserve">After the first stop in May Yai Bay, the boat will anchor at the main island for a buffet lunch. Some time will be left to discover the surroundings and the pristine beaches of the island, sunbathe, and relax until the next snorkeling session among the colorful corals of Sapparod Bay and Bon Bay. A visit to the nearby Moken village is possible and provides an opportunity to learn about the unique way of life of the sea nomads, sadly threatened and forced to become sedentary.</w:t>
      </w:r>
      <w:br/>
      <w:r>
        <w:rPr>
          <w:rFonts w:ascii="Open Sans" w:hAnsi="Open Sans" w:eastAsia="Open Sans" w:cs="Open Sans"/>
          <w:sz w:val="20"/>
          <w:szCs w:val="20"/>
        </w:rPr>
        <w:t xml:space="preserve">On the way back, the boat will pass by the green Koh Ra, before arriving in Khura Buri around 16:30.</w:t>
      </w:r>
    </w:p>
    <w:p>
      <w:pPr>
        <w:pStyle w:val="Heading2"/>
      </w:pPr>
      <w:bookmarkStart w:id="4" w:name="_Toc4"/>
      <w:r>
        <w:t>Selling points</w:t>
      </w:r>
      <w:bookmarkEnd w:id="4"/>
    </w:p>
    <w:p>
      <w:pPr/>
      <w:r>
        <w:pict>
          <v:shape id="_x0000_s1027"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The fantastic beauty of the Surin Island archipelago is less crowded than the other Andaman sea islands.</w:t>
      </w:r>
    </w:p>
    <w:p>
      <w:pPr>
        <w:pPr/>
        <w:numPr>
          <w:ilvl w:val="0"/>
          <w:numId w:val="7"/>
        </w:numPr>
      </w:pPr>
      <w:r>
        <w:rPr>
          <w:rFonts w:ascii="Open Sans" w:hAnsi="Open Sans" w:eastAsia="Open Sans" w:cs="Open Sans"/>
          <w:sz w:val="20"/>
          <w:szCs w:val="20"/>
        </w:rPr>
        <w:t xml:space="preserve">3 friendly and colorful snorkeling experiences of approximately 1 hour and 30 minutes each, guided by an experienced, friendly, and helpful crew.</w:t>
      </w:r>
    </w:p>
    <w:p>
      <w:pPr>
        <w:pPr/>
        <w:numPr>
          <w:ilvl w:val="0"/>
          <w:numId w:val="7"/>
        </w:numPr>
      </w:pPr>
      <w:r>
        <w:rPr>
          <w:rFonts w:ascii="Open Sans" w:hAnsi="Open Sans" w:eastAsia="Open Sans" w:cs="Open Sans"/>
          <w:sz w:val="20"/>
          <w:szCs w:val="20"/>
        </w:rPr>
        <w:t xml:space="preserve">An opportunity to learn about the challenges faced by the Moken community, threatened by modernization and deforestation</w:t>
      </w:r>
    </w:p>
    <w:p>
      <w:pPr>
        <w:pPr/>
        <w:numPr>
          <w:ilvl w:val="0"/>
          <w:numId w:val="7"/>
        </w:numPr>
      </w:pPr>
      <w:r>
        <w:rPr>
          <w:rFonts w:ascii="Open Sans" w:hAnsi="Open Sans" w:eastAsia="Open Sans" w:cs="Open Sans"/>
          <w:sz w:val="20"/>
          <w:szCs w:val="20"/>
        </w:rPr>
        <w:t xml:space="preserve">Safety standards are well respected, and tour organizers are well-trained.</w:t>
      </w:r>
    </w:p>
    <w:p>
      <w:pPr>
        <w:pStyle w:val="Heading2"/>
      </w:pPr>
      <w:bookmarkStart w:id="5" w:name="_Toc5"/>
      <w:r>
        <w:t>Sustainability</w:t>
      </w:r>
      <w:bookmarkEnd w:id="5"/>
    </w:p>
    <w:p>
      <w:pPr/>
      <w:r>
        <w:pict>
          <v:shape id="_x0000_s1033"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 Involving minorities</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National parks</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pStyle w:val="Heading3"/>
      </w:pPr>
      <w:r>
        <w:rPr>
          <w:rFonts w:ascii="Open Sans" w:hAnsi="Open Sans" w:eastAsia="Open Sans" w:cs="Open Sans"/>
          <w:sz w:val="20"/>
          <w:szCs w:val="20"/>
        </w:rPr>
        <w:t xml:space="preserve">Positive impacts</w:t>
      </w:r>
    </w:p>
    <w:p>
      <w:pPr/>
      <w:r>
        <w:rPr>
          <w:rFonts w:ascii="Open Sans" w:hAnsi="Open Sans" w:eastAsia="Open Sans" w:cs="Open Sans"/>
          <w:sz w:val="20"/>
          <w:szCs w:val="20"/>
        </w:rPr>
        <w:t xml:space="preserve">The activity takes places in an area inhabited by minorities. The activity creates opportunity for them to show their traditional way of life earn income from tourism. Moreover, the activity takes place in a National Park and the entrance fee contributes to the conservation and management of the natural resources.</w:t>
      </w:r>
    </w:p>
    <w:p>
      <w:pPr>
        <w:pStyle w:val="Heading3"/>
      </w:pPr>
      <w:r>
        <w:rPr>
          <w:rFonts w:ascii="Open Sans" w:hAnsi="Open Sans" w:eastAsia="Open Sans" w:cs="Open Sans"/>
          <w:sz w:val="20"/>
          <w:szCs w:val="20"/>
        </w:rPr>
        <w:t xml:space="preserve">Negative impacts</w:t>
      </w:r>
    </w:p>
    <w:p>
      <w:pPr/>
      <w:r>
        <w:rPr>
          <w:rFonts w:ascii="Open Sans" w:hAnsi="Open Sans" w:eastAsia="Open Sans" w:cs="Open Sans"/>
          <w:sz w:val="20"/>
          <w:szCs w:val="20"/>
        </w:rPr>
        <w:t xml:space="preserve">The boat used during the activity uses fossil fuel which causes Co</w:t>
      </w:r>
      <w:r>
        <w:rPr>
          <w:rFonts w:ascii="Open Sans" w:hAnsi="Open Sans" w:eastAsia="Open Sans" w:cs="Open Sans"/>
          <w:sz w:val="20"/>
          <w:szCs w:val="20"/>
          <w:vertAlign w:val="superscript"/>
        </w:rPr>
        <w:t xml:space="preserve">2</w:t>
      </w:r>
      <w:r>
        <w:rPr>
          <w:rFonts w:ascii="Open Sans" w:hAnsi="Open Sans" w:eastAsia="Open Sans" w:cs="Open Sans"/>
          <w:sz w:val="20"/>
          <w:szCs w:val="20"/>
        </w:rPr>
        <w:t xml:space="preserve"> emissions.</w:t>
      </w:r>
    </w:p>
    <w:p>
      <w:pPr>
        <w:pStyle w:val="Heading3"/>
      </w:pPr>
      <w:r>
        <w:rPr>
          <w:rFonts w:ascii="Open Sans" w:hAnsi="Open Sans" w:eastAsia="Open Sans" w:cs="Open Sans"/>
          <w:sz w:val="20"/>
          <w:szCs w:val="20"/>
        </w:rPr>
        <w:t xml:space="preserve">Sensitive Character</w:t>
      </w:r>
    </w:p>
    <w:p>
      <w:pPr/>
      <w:r>
        <w:rPr>
          <w:rFonts w:ascii="Open Sans" w:hAnsi="Open Sans" w:eastAsia="Open Sans" w:cs="Open Sans"/>
          <w:sz w:val="20"/>
          <w:szCs w:val="20"/>
        </w:rPr>
        <w:t xml:space="preserve">The activity involves ethnic minorities who are vulnerable to exploitation and whose culture is at risk of disappearing. The accompanying guide makes sure all ethic standards are adhered to to minimize negative impacts on the community.</w:t>
      </w:r>
    </w:p>
    <w:p>
      <w:pPr>
        <w:pStyle w:val="Heading2"/>
      </w:pPr>
      <w:bookmarkStart w:id="6" w:name="_Toc6"/>
      <w:r>
        <w:t>Time And Transportation</w:t>
      </w:r>
      <w:bookmarkEnd w:id="6"/>
    </w:p>
    <w:p>
      <w:pPr/>
      <w:r>
        <w:pict>
          <v:shape id="_x0000_s1051"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km</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Khao Lak</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Greenview pier Khura Buri</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87</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1.15 hour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Phuket</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Greenview pier Khura Buri</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160 – 210</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2.30 to 3 hours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Greenview pier Khura Buri</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Surin Islands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60</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 hour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Speedboat</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Sea</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Greenview pier Khura Buri</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Khao Sok</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100</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1.30 hour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54"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00.375pt; margin-left:-1pt; margin-top:-1pt; mso-position-horizontal:left; mso-position-vertical:top; mso-position-horizontal-relative:char; mso-position-vertical-relative:line; z-index:-2147483647;">
            <v:imagedata r:id="rId8" o:title=""/>
          </v:shape>
        </w:pict>
      </w:r>
    </w:p>
    <w:p>
      <w:pPr/>
      <w:r>
        <w:pict>
          <v:shape type="#_x0000_t75" style="width:450pt; height:300.375pt; margin-left:-1pt; margin-top:-1pt; mso-position-horizontal:left; mso-position-vertical:top; mso-position-horizontal-relative:char; mso-position-vertical-relative:line; z-index:-2147483647;">
            <v:imagedata r:id="rId9" o:title=""/>
          </v:shape>
        </w:pict>
      </w:r>
    </w:p>
    <w:p>
      <w:pPr/>
      <w:r>
        <w:pict>
          <v:shape type="#_x0000_t75" style="width:450pt; height:300.375pt; margin-left:-1pt; margin-top:-1pt; mso-position-horizontal:left; mso-position-vertical:top; mso-position-horizontal-relative:char; mso-position-vertical-relative:line; z-index:-2147483647;">
            <v:imagedata r:id="rId10" o:title=""/>
          </v:shape>
        </w:pict>
      </w:r>
    </w:p>
    <w:p>
      <w:pPr/>
      <w:r>
        <w:pict>
          <v:shape type="#_x0000_t75" style="width:450pt; height:300.375pt; margin-left:-1pt; margin-top:-1pt; mso-position-horizontal:left; mso-position-vertical:top; mso-position-horizontal-relative:char; mso-position-vertical-relative:line; z-index:-2147483647;">
            <v:imagedata r:id="rId11" o:title=""/>
          </v:shape>
        </w:pict>
      </w:r>
    </w:p>
    <w:p>
      <w:pPr/>
      <w:r>
        <w:pict>
          <v:shape type="#_x0000_t75" style="width:450pt; height:300.375pt; margin-left:-1pt; margin-top:-1pt; mso-position-horizontal:left; mso-position-vertical:top; mso-position-horizontal-relative:char; mso-position-vertical-relative:line; z-index:-2147483647;">
            <v:imagedata r:id="rId12" o:title=""/>
          </v:shape>
        </w:pict>
      </w:r>
    </w:p>
    <w:p>
      <w:pPr/>
      <w:r>
        <w:pict>
          <v:shape type="#_x0000_t75" style="width:450pt; height:300.375pt; margin-left:-1pt; margin-top:-1pt; mso-position-horizontal:left; mso-position-vertical:top; mso-position-horizontal-relative:char; mso-position-vertical-relative:line; z-index:-2147483647;">
            <v:imagedata r:id="rId13" o:title=""/>
          </v:shape>
        </w:pict>
      </w:r>
    </w:p>
    <w:p>
      <w:pPr/>
      <w:r>
        <w:pict>
          <v:shape type="#_x0000_t75" style="width:450pt; height:300.375pt; margin-left:-1pt; margin-top:-1pt; mso-position-horizontal:left; mso-position-vertical:top; mso-position-horizontal-relative:char; mso-position-vertical-relative:line; z-index:-2147483647;">
            <v:imagedata r:id="rId14"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8" w:name="_Toc8"/>
      <w:r>
        <w:t>Easia Travel Head Office</w:t>
      </w:r>
      <w:bookmarkEnd w:id="8"/>
    </w:p>
    <w:p>
      <w:pPr/>
      <w:r>
        <w:pict>
          <v:shape id="_x0000_s1064" type="#_x0000_t32" style="width:440pt; height:0pt; margin-left:0pt; margin-top:0pt; mso-position-horizontal:left; mso-position-vertical:top; mso-position-horizontal-relative:char; mso-position-vertical-relative:line;">
            <w10:wrap type="inline"/>
            <v:stroke weight="1pt" color="purple"/>
          </v:shape>
        </w:pict>
      </w:r>
    </w:p>
    <w:sectPr>
      <w:headerReference w:type="default" r:id="rId15"/>
      <w:footerReference w:type="default" r:id="rId16"/>
      <w:footerReference w:type="default" r:id="rId17"/>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THAILAND – KHURA BURI – SURIN ISLANDS SNORKELING AND MOKEN VILLAGE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D0FC79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2024-03-28T08:15:15+00:00</dcterms:created>
  <dcterms:modified xsi:type="dcterms:W3CDTF">2024-03-28T08:15:15+00:00</dcterms:modified>
</cp:coreProperties>
</file>

<file path=docProps/custom.xml><?xml version="1.0" encoding="utf-8"?>
<Properties xmlns="http://schemas.openxmlformats.org/officeDocument/2006/custom-properties" xmlns:vt="http://schemas.openxmlformats.org/officeDocument/2006/docPropsVTypes"/>
</file>